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0E7" w:rsidRPr="00B420E7" w:rsidRDefault="0093191F" w:rsidP="00B420E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Citation Styles and Disciplinary Values</w:t>
      </w:r>
    </w:p>
    <w:p w:rsidR="00B420E7" w:rsidRDefault="00B420E7" w:rsidP="00107B8B">
      <w:pPr>
        <w:rPr>
          <w:rFonts w:ascii="Arial" w:hAnsi="Arial" w:cs="Arial"/>
        </w:rPr>
      </w:pPr>
    </w:p>
    <w:p w:rsidR="00107B8B" w:rsidRPr="00FB33BC" w:rsidRDefault="00107B8B" w:rsidP="00107B8B">
      <w:pPr>
        <w:rPr>
          <w:rFonts w:ascii="Arial" w:hAnsi="Arial" w:cs="Arial"/>
          <w:sz w:val="20"/>
          <w:szCs w:val="20"/>
        </w:rPr>
      </w:pPr>
      <w:r w:rsidRPr="00FB33BC">
        <w:rPr>
          <w:rFonts w:ascii="Arial" w:hAnsi="Arial" w:cs="Arial"/>
          <w:sz w:val="20"/>
          <w:szCs w:val="20"/>
        </w:rPr>
        <w:t xml:space="preserve">Different disciplines have </w:t>
      </w:r>
      <w:r w:rsidR="00B420E7" w:rsidRPr="00FB33BC">
        <w:rPr>
          <w:rFonts w:ascii="Arial" w:hAnsi="Arial" w:cs="Arial"/>
          <w:sz w:val="20"/>
          <w:szCs w:val="20"/>
        </w:rPr>
        <w:t xml:space="preserve">citation </w:t>
      </w:r>
      <w:r w:rsidRPr="00FB33BC">
        <w:rPr>
          <w:rFonts w:ascii="Arial" w:hAnsi="Arial" w:cs="Arial"/>
          <w:sz w:val="20"/>
          <w:szCs w:val="20"/>
        </w:rPr>
        <w:t xml:space="preserve">styles that reflect </w:t>
      </w:r>
      <w:r w:rsidR="00B420E7" w:rsidRPr="00FB33BC">
        <w:rPr>
          <w:rFonts w:ascii="Arial" w:hAnsi="Arial" w:cs="Arial"/>
          <w:sz w:val="20"/>
          <w:szCs w:val="20"/>
        </w:rPr>
        <w:t xml:space="preserve">different </w:t>
      </w:r>
      <w:r w:rsidRPr="00FB33BC">
        <w:rPr>
          <w:rFonts w:ascii="Arial" w:hAnsi="Arial" w:cs="Arial"/>
          <w:sz w:val="20"/>
          <w:szCs w:val="20"/>
        </w:rPr>
        <w:t>disciplinary values.</w:t>
      </w:r>
      <w:r w:rsidR="00B420E7" w:rsidRPr="00FB33BC">
        <w:rPr>
          <w:rFonts w:ascii="Arial" w:hAnsi="Arial" w:cs="Arial"/>
          <w:sz w:val="20"/>
          <w:szCs w:val="20"/>
        </w:rPr>
        <w:t xml:space="preserve">  Take a look at the three different citation styles below and </w:t>
      </w:r>
      <w:r w:rsidR="002211C8" w:rsidRPr="00FB33BC">
        <w:rPr>
          <w:rFonts w:ascii="Arial" w:hAnsi="Arial" w:cs="Arial"/>
          <w:sz w:val="20"/>
          <w:szCs w:val="20"/>
        </w:rPr>
        <w:t xml:space="preserve">identify their major differences.  Then </w:t>
      </w:r>
      <w:r w:rsidR="00B420E7" w:rsidRPr="00FB33BC">
        <w:rPr>
          <w:rFonts w:ascii="Arial" w:hAnsi="Arial" w:cs="Arial"/>
          <w:sz w:val="20"/>
          <w:szCs w:val="20"/>
        </w:rPr>
        <w:t>discuss what these styles suggest about the types of knowledge each discipline seems to privilege and what each discipline considers important.</w:t>
      </w:r>
    </w:p>
    <w:p w:rsidR="00B420E7" w:rsidRPr="00E46841" w:rsidRDefault="00B420E7" w:rsidP="00107B8B">
      <w:pPr>
        <w:rPr>
          <w:rFonts w:ascii="Arial" w:hAnsi="Arial" w:cs="Arial"/>
        </w:rPr>
      </w:pPr>
    </w:p>
    <w:p w:rsidR="00107B8B" w:rsidRPr="00E46841" w:rsidRDefault="00107B8B" w:rsidP="00107B8B">
      <w:pPr>
        <w:rPr>
          <w:rFonts w:ascii="Arial" w:hAnsi="Arial" w:cs="Arial"/>
          <w:b/>
        </w:rPr>
      </w:pPr>
      <w:r w:rsidRPr="00E46841">
        <w:rPr>
          <w:rFonts w:ascii="Arial" w:hAnsi="Arial" w:cs="Arial"/>
          <w:b/>
        </w:rPr>
        <w:t>In-text citations for different disciplines:</w:t>
      </w:r>
    </w:p>
    <w:tbl>
      <w:tblPr>
        <w:tblW w:w="10860" w:type="dxa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3620"/>
        <w:gridCol w:w="3620"/>
      </w:tblGrid>
      <w:tr w:rsidR="00315866" w:rsidRPr="00E46841" w:rsidTr="00574B1A">
        <w:trPr>
          <w:trHeight w:val="780"/>
          <w:tblCellSpacing w:w="0" w:type="dxa"/>
        </w:trPr>
        <w:tc>
          <w:tcPr>
            <w:tcW w:w="362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MLA (Literature &amp; Humanities)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APA (Social Science)</w:t>
            </w:r>
          </w:p>
        </w:tc>
        <w:tc>
          <w:tcPr>
            <w:tcW w:w="3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IEEE (Engineering &amp; Technology)</w:t>
            </w:r>
          </w:p>
        </w:tc>
      </w:tr>
      <w:tr w:rsidR="00315866" w:rsidRPr="00E46841" w:rsidTr="00574B1A">
        <w:trPr>
          <w:trHeight w:val="975"/>
          <w:tblCellSpacing w:w="0" w:type="dxa"/>
        </w:trPr>
        <w:tc>
          <w:tcPr>
            <w:tcW w:w="36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The concept has been called "medium-fidelity prototyping" (Snyder 35). 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The concept has been called "medium-fidelity prototyping" (Snyder, 1999, p. 35).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The concept has been called "medium-fidelity prototyping" [5]. </w:t>
            </w:r>
          </w:p>
        </w:tc>
      </w:tr>
      <w:tr w:rsidR="00315866" w:rsidRPr="00E46841" w:rsidTr="00574B1A">
        <w:trPr>
          <w:trHeight w:val="1035"/>
          <w:tblCellSpacing w:w="0" w:type="dxa"/>
        </w:trPr>
        <w:tc>
          <w:tcPr>
            <w:tcW w:w="362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According to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Inose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 et al., current Internet technology is still years behind industry projections. 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According to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Inose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 et al. (2005), current Internet technology is still years behind industry projections.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According to [2], current Internet technology is still years behind industry projections. </w:t>
            </w:r>
          </w:p>
        </w:tc>
      </w:tr>
      <w:tr w:rsidR="00315866" w:rsidRPr="00E46841" w:rsidTr="00574B1A">
        <w:trPr>
          <w:trHeight w:val="1485"/>
          <w:tblCellSpacing w:w="0" w:type="dxa"/>
        </w:trPr>
        <w:tc>
          <w:tcPr>
            <w:tcW w:w="362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Motion or centrifugation can speed up the diagnosis </w:t>
            </w:r>
            <w:r w:rsidR="00380D18" w:rsidRPr="00E46841">
              <w:rPr>
                <w:rFonts w:ascii="Arial" w:hAnsi="Arial" w:cs="Arial"/>
                <w:sz w:val="20"/>
                <w:szCs w:val="20"/>
              </w:rPr>
              <w:t>of some viral infections</w:t>
            </w:r>
            <w:r w:rsidRPr="00E46841">
              <w:rPr>
                <w:rFonts w:ascii="Arial" w:hAnsi="Arial" w:cs="Arial"/>
                <w:sz w:val="20"/>
                <w:szCs w:val="20"/>
              </w:rPr>
              <w:t>.</w:t>
            </w:r>
            <w:r w:rsidR="00380D18" w:rsidRPr="00E46841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80D18" w:rsidRPr="00E46841" w:rsidRDefault="00380D18" w:rsidP="00107B8B">
            <w:pPr>
              <w:rPr>
                <w:rFonts w:ascii="Arial" w:hAnsi="Arial" w:cs="Arial"/>
                <w:sz w:val="20"/>
                <w:szCs w:val="20"/>
              </w:rPr>
            </w:pPr>
          </w:p>
          <w:p w:rsidR="00380D18" w:rsidRPr="00E46841" w:rsidRDefault="00380D18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Notes</w:t>
            </w:r>
          </w:p>
          <w:p w:rsidR="00380D18" w:rsidRPr="00E46841" w:rsidRDefault="00380D18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 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See for example Burch et al.; Rosen and Williams; Sanders et al.; and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Zelwig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Motion or centrifugation can speed up the diagnosis of some viral infections (Burch et al</w:t>
            </w:r>
            <w:r w:rsidR="00380D18" w:rsidRPr="00E46841">
              <w:rPr>
                <w:rFonts w:ascii="Arial" w:hAnsi="Arial" w:cs="Arial"/>
                <w:sz w:val="20"/>
                <w:szCs w:val="20"/>
              </w:rPr>
              <w:t>.,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1987; Rosen &amp; Williams</w:t>
            </w:r>
            <w:r w:rsidR="00380D18" w:rsidRPr="00E46841">
              <w:rPr>
                <w:rFonts w:ascii="Arial" w:hAnsi="Arial" w:cs="Arial"/>
                <w:sz w:val="20"/>
                <w:szCs w:val="20"/>
              </w:rPr>
              <w:t>,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1994; Sanders et al</w:t>
            </w:r>
            <w:r w:rsidR="00380D18" w:rsidRPr="00E46841">
              <w:rPr>
                <w:rFonts w:ascii="Arial" w:hAnsi="Arial" w:cs="Arial"/>
                <w:sz w:val="20"/>
                <w:szCs w:val="20"/>
              </w:rPr>
              <w:t>.,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1996;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Zelwig</w:t>
            </w:r>
            <w:proofErr w:type="spellEnd"/>
            <w:r w:rsidR="00380D18" w:rsidRPr="00E46841">
              <w:rPr>
                <w:rFonts w:ascii="Arial" w:hAnsi="Arial" w:cs="Arial"/>
                <w:sz w:val="20"/>
                <w:szCs w:val="20"/>
              </w:rPr>
              <w:t>,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1997).</w:t>
            </w:r>
          </w:p>
        </w:tc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Motion or centrifugation can speed up the diagnosis of some viral infections [19-22]. </w:t>
            </w:r>
          </w:p>
        </w:tc>
      </w:tr>
    </w:tbl>
    <w:p w:rsidR="00107B8B" w:rsidRPr="00E46841" w:rsidRDefault="00107B8B">
      <w:pPr>
        <w:rPr>
          <w:rFonts w:ascii="Arial" w:hAnsi="Arial" w:cs="Arial"/>
        </w:rPr>
      </w:pPr>
    </w:p>
    <w:p w:rsidR="00107B8B" w:rsidRPr="00E46841" w:rsidRDefault="00107B8B">
      <w:pPr>
        <w:rPr>
          <w:rFonts w:ascii="Arial" w:hAnsi="Arial" w:cs="Arial"/>
          <w:b/>
        </w:rPr>
      </w:pPr>
      <w:r w:rsidRPr="00E46841">
        <w:rPr>
          <w:rFonts w:ascii="Arial" w:hAnsi="Arial" w:cs="Arial"/>
          <w:b/>
        </w:rPr>
        <w:t>Works Cited:</w:t>
      </w:r>
    </w:p>
    <w:tbl>
      <w:tblPr>
        <w:tblW w:w="10876" w:type="dxa"/>
        <w:tblCellSpacing w:w="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5"/>
        <w:gridCol w:w="3625"/>
        <w:gridCol w:w="3626"/>
      </w:tblGrid>
      <w:tr w:rsidR="00315866" w:rsidRPr="00E46841" w:rsidTr="00774F9A">
        <w:trPr>
          <w:trHeight w:val="564"/>
          <w:tblCellSpacing w:w="0" w:type="dxa"/>
        </w:trPr>
        <w:tc>
          <w:tcPr>
            <w:tcW w:w="36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15866" w:rsidRPr="00E46841" w:rsidRDefault="00315866" w:rsidP="00107B8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i/>
                <w:sz w:val="20"/>
                <w:szCs w:val="20"/>
              </w:rPr>
              <w:t>MLA references ordered alphabetically.</w:t>
            </w:r>
          </w:p>
        </w:tc>
        <w:tc>
          <w:tcPr>
            <w:tcW w:w="3625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i/>
                <w:sz w:val="20"/>
                <w:szCs w:val="20"/>
              </w:rPr>
              <w:t>APA references ordered alphabetically.</w:t>
            </w:r>
          </w:p>
        </w:tc>
        <w:tc>
          <w:tcPr>
            <w:tcW w:w="3626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315866" w:rsidRPr="00E46841" w:rsidRDefault="00315866" w:rsidP="0042130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E46841">
              <w:rPr>
                <w:rFonts w:ascii="Arial" w:hAnsi="Arial" w:cs="Arial"/>
                <w:b/>
                <w:i/>
                <w:sz w:val="20"/>
                <w:szCs w:val="20"/>
              </w:rPr>
              <w:t>IEEE references ordered by appearance in paper.</w:t>
            </w:r>
          </w:p>
        </w:tc>
      </w:tr>
      <w:tr w:rsidR="00315866" w:rsidRPr="00E46841" w:rsidTr="00574B1A">
        <w:trPr>
          <w:trHeight w:val="4680"/>
          <w:tblCellSpacing w:w="0" w:type="dxa"/>
        </w:trPr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1307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Glass,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Geof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>. "Marginalia".  2005. June 20 2007. &lt;http://www.geof.net/code/annotation/demo/&gt;.</w:t>
            </w:r>
          </w:p>
          <w:p w:rsidR="00380D18" w:rsidRPr="00E46841" w:rsidRDefault="00380D18" w:rsidP="00380D18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Honneycutt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, Lee. "Comparing Email and Synchronous Conferencing in Online Peer Response." </w:t>
            </w:r>
            <w:r w:rsidRPr="00E46841">
              <w:rPr>
                <w:rFonts w:ascii="Arial" w:hAnsi="Arial" w:cs="Arial"/>
                <w:sz w:val="20"/>
                <w:szCs w:val="20"/>
                <w:u w:val="single"/>
              </w:rPr>
              <w:t>Written Communication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 18.1 (2001): 26-60.</w:t>
            </w:r>
          </w:p>
          <w:p w:rsidR="00380D18" w:rsidRPr="00E46841" w:rsidRDefault="00380D18" w:rsidP="00380D18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Margolis, Jane, and Allan Fisher. </w:t>
            </w:r>
            <w:r w:rsidRPr="00E46841">
              <w:rPr>
                <w:rFonts w:ascii="Arial" w:hAnsi="Arial" w:cs="Arial"/>
                <w:sz w:val="20"/>
                <w:szCs w:val="20"/>
                <w:u w:val="single"/>
              </w:rPr>
              <w:t>Unlocking the Clubhouse: Women in Computing</w:t>
            </w:r>
            <w:r w:rsidRPr="00E46841">
              <w:rPr>
                <w:rFonts w:ascii="Arial" w:hAnsi="Arial" w:cs="Arial"/>
                <w:sz w:val="20"/>
                <w:szCs w:val="20"/>
              </w:rPr>
              <w:t>. Cambridge, MA: MIT Press, 2002.</w:t>
            </w:r>
          </w:p>
          <w:p w:rsidR="00315866" w:rsidRPr="00E46841" w:rsidRDefault="00380D18" w:rsidP="00574B1A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Vande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Kopple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, William J. "Using the Concepts of Given Information and New Information."  </w:t>
            </w:r>
            <w:r w:rsidRPr="00E46841">
              <w:rPr>
                <w:rFonts w:ascii="Arial" w:hAnsi="Arial" w:cs="Arial"/>
                <w:sz w:val="20"/>
                <w:szCs w:val="20"/>
                <w:u w:val="single"/>
              </w:rPr>
              <w:t>Functional Approaches to Written Text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. Ed. Tom Miller. Washington D.C.: United States Information Agency, 1997. </w:t>
            </w:r>
          </w:p>
        </w:tc>
        <w:tc>
          <w:tcPr>
            <w:tcW w:w="3625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:rsidR="00421307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Glass, G. (2005). Marginalia.   Retrieved June 20, 2007, from http://www.geof.net/code/annotation/demo/</w:t>
            </w:r>
          </w:p>
          <w:p w:rsidR="00380D18" w:rsidRPr="00E46841" w:rsidRDefault="00380D18" w:rsidP="00380D18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Honneycutt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, L. (2001). Comparing email and synchronous conferencing in online peer response.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Written Communication, 18</w:t>
            </w:r>
            <w:r w:rsidRPr="00E46841">
              <w:rPr>
                <w:rFonts w:ascii="Arial" w:hAnsi="Arial" w:cs="Arial"/>
                <w:sz w:val="20"/>
                <w:szCs w:val="20"/>
              </w:rPr>
              <w:t>(1), 26-60.</w:t>
            </w:r>
          </w:p>
          <w:p w:rsidR="00380D18" w:rsidRPr="00E46841" w:rsidRDefault="00380D18" w:rsidP="00380D18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 xml:space="preserve">Margolis, J., &amp; Fisher, A. (2002).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Unlocking the clubhouse: Women in computing</w:t>
            </w:r>
            <w:r w:rsidRPr="00E46841">
              <w:rPr>
                <w:rFonts w:ascii="Arial" w:hAnsi="Arial" w:cs="Arial"/>
                <w:sz w:val="20"/>
                <w:szCs w:val="20"/>
              </w:rPr>
              <w:t>. Cambridge, MA: MIT Press.</w:t>
            </w:r>
          </w:p>
          <w:p w:rsidR="00315866" w:rsidRPr="00E46841" w:rsidRDefault="00380D18" w:rsidP="00574B1A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Vande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Kopple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>, W. J. (1997). Using the concepts of given information and new informatio</w:t>
            </w:r>
            <w:r w:rsidR="002211C8">
              <w:rPr>
                <w:rFonts w:ascii="Arial" w:hAnsi="Arial" w:cs="Arial"/>
                <w:sz w:val="20"/>
                <w:szCs w:val="20"/>
              </w:rPr>
              <w:t>n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. In T. Miller (Ed.),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Functional approaches to written text</w:t>
            </w:r>
            <w:r w:rsidRPr="00E46841">
              <w:rPr>
                <w:rFonts w:ascii="Arial" w:hAnsi="Arial" w:cs="Arial"/>
                <w:sz w:val="20"/>
                <w:szCs w:val="20"/>
              </w:rPr>
              <w:t>. Washington D.C.: United States Information Agency.</w:t>
            </w:r>
          </w:p>
        </w:tc>
        <w:tc>
          <w:tcPr>
            <w:tcW w:w="3626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:rsidR="00421307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[1]</w:t>
            </w:r>
            <w:r w:rsidRPr="00E46841">
              <w:rPr>
                <w:rFonts w:ascii="Arial" w:hAnsi="Arial" w:cs="Arial"/>
                <w:sz w:val="20"/>
                <w:szCs w:val="20"/>
              </w:rPr>
              <w:tab/>
              <w:t xml:space="preserve">W. J.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Vande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Kopple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>, "Using the Concepts of Given Information and New Informatio</w:t>
            </w:r>
            <w:r w:rsidR="002211C8">
              <w:rPr>
                <w:rFonts w:ascii="Arial" w:hAnsi="Arial" w:cs="Arial"/>
                <w:sz w:val="20"/>
                <w:szCs w:val="20"/>
              </w:rPr>
              <w:t>n</w:t>
            </w:r>
            <w:r w:rsidRPr="00E46841">
              <w:rPr>
                <w:rFonts w:ascii="Arial" w:hAnsi="Arial" w:cs="Arial"/>
                <w:sz w:val="20"/>
                <w:szCs w:val="20"/>
              </w:rPr>
              <w:t xml:space="preserve">," in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Functional approaches to written text</w:t>
            </w:r>
            <w:r w:rsidRPr="00E46841">
              <w:rPr>
                <w:rFonts w:ascii="Arial" w:hAnsi="Arial" w:cs="Arial"/>
                <w:sz w:val="20"/>
                <w:szCs w:val="20"/>
              </w:rPr>
              <w:t>, T. Miller, Ed. Washington D.C.: United States Information Agency, 1997.</w:t>
            </w:r>
          </w:p>
          <w:p w:rsidR="00421307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[2]</w:t>
            </w:r>
            <w:r w:rsidRPr="00E46841">
              <w:rPr>
                <w:rFonts w:ascii="Arial" w:hAnsi="Arial" w:cs="Arial"/>
                <w:sz w:val="20"/>
                <w:szCs w:val="20"/>
              </w:rPr>
              <w:tab/>
              <w:t xml:space="preserve">L. </w:t>
            </w:r>
            <w:proofErr w:type="spellStart"/>
            <w:r w:rsidRPr="00E46841">
              <w:rPr>
                <w:rFonts w:ascii="Arial" w:hAnsi="Arial" w:cs="Arial"/>
                <w:sz w:val="20"/>
                <w:szCs w:val="20"/>
              </w:rPr>
              <w:t>Honneycutt</w:t>
            </w:r>
            <w:proofErr w:type="spellEnd"/>
            <w:r w:rsidRPr="00E46841">
              <w:rPr>
                <w:rFonts w:ascii="Arial" w:hAnsi="Arial" w:cs="Arial"/>
                <w:sz w:val="20"/>
                <w:szCs w:val="20"/>
              </w:rPr>
              <w:t xml:space="preserve">, "Comparing email and synchronous conferencing in online peer response,"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Written Communication</w:t>
            </w:r>
            <w:r w:rsidRPr="00E46841">
              <w:rPr>
                <w:rFonts w:ascii="Arial" w:hAnsi="Arial" w:cs="Arial"/>
                <w:sz w:val="20"/>
                <w:szCs w:val="20"/>
              </w:rPr>
              <w:t>, vol. 18, pp. 26-60, 2001.</w:t>
            </w:r>
          </w:p>
          <w:p w:rsidR="00315866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[3]</w:t>
            </w:r>
            <w:r w:rsidRPr="00E46841">
              <w:rPr>
                <w:rFonts w:ascii="Arial" w:hAnsi="Arial" w:cs="Arial"/>
                <w:sz w:val="20"/>
                <w:szCs w:val="20"/>
              </w:rPr>
              <w:tab/>
              <w:t xml:space="preserve">J. Margolis and A. Fisher, </w:t>
            </w:r>
            <w:r w:rsidRPr="00E46841">
              <w:rPr>
                <w:rFonts w:ascii="Arial" w:hAnsi="Arial" w:cs="Arial"/>
                <w:i/>
                <w:iCs/>
                <w:sz w:val="20"/>
                <w:szCs w:val="20"/>
              </w:rPr>
              <w:t>Unlocking the Clubhouse: Women in Computing</w:t>
            </w:r>
            <w:r w:rsidRPr="00E46841">
              <w:rPr>
                <w:rFonts w:ascii="Arial" w:hAnsi="Arial" w:cs="Arial"/>
                <w:sz w:val="20"/>
                <w:szCs w:val="20"/>
              </w:rPr>
              <w:t>. Cambridge, MA: MIT Press, 2002.</w:t>
            </w:r>
          </w:p>
          <w:p w:rsidR="00421307" w:rsidRPr="00E46841" w:rsidRDefault="00421307" w:rsidP="00421307">
            <w:pPr>
              <w:autoSpaceDE w:val="0"/>
              <w:autoSpaceDN w:val="0"/>
              <w:adjustRightInd w:val="0"/>
              <w:spacing w:after="240"/>
              <w:ind w:left="720" w:hanging="720"/>
              <w:rPr>
                <w:rFonts w:ascii="Arial" w:hAnsi="Arial" w:cs="Arial"/>
                <w:sz w:val="20"/>
                <w:szCs w:val="20"/>
              </w:rPr>
            </w:pPr>
            <w:r w:rsidRPr="00E46841">
              <w:rPr>
                <w:rFonts w:ascii="Arial" w:hAnsi="Arial" w:cs="Arial"/>
                <w:sz w:val="20"/>
                <w:szCs w:val="20"/>
              </w:rPr>
              <w:t>[4]</w:t>
            </w:r>
            <w:r w:rsidRPr="00E46841">
              <w:rPr>
                <w:rFonts w:ascii="Arial" w:hAnsi="Arial" w:cs="Arial"/>
                <w:sz w:val="20"/>
                <w:szCs w:val="20"/>
              </w:rPr>
              <w:tab/>
              <w:t>G. Glass, "Marginalia," vol. 2007, 2005.</w:t>
            </w:r>
          </w:p>
        </w:tc>
      </w:tr>
    </w:tbl>
    <w:p w:rsidR="00421307" w:rsidRPr="00E46841" w:rsidRDefault="00421307" w:rsidP="00774F9A">
      <w:pPr>
        <w:tabs>
          <w:tab w:val="left" w:pos="1560"/>
        </w:tabs>
        <w:rPr>
          <w:rFonts w:ascii="Arial" w:hAnsi="Arial" w:cs="Arial"/>
        </w:rPr>
      </w:pPr>
      <w:bookmarkStart w:id="0" w:name="_GoBack"/>
      <w:bookmarkEnd w:id="0"/>
    </w:p>
    <w:sectPr w:rsidR="00421307" w:rsidRPr="00E46841" w:rsidSect="005C0CD7">
      <w:headerReference w:type="default" r:id="rId7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CD7" w:rsidRDefault="005C0CD7" w:rsidP="005C0CD7">
      <w:r>
        <w:separator/>
      </w:r>
    </w:p>
  </w:endnote>
  <w:endnote w:type="continuationSeparator" w:id="0">
    <w:p w:rsidR="005C0CD7" w:rsidRDefault="005C0CD7" w:rsidP="005C0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CD7" w:rsidRDefault="005C0CD7" w:rsidP="005C0CD7">
      <w:r>
        <w:separator/>
      </w:r>
    </w:p>
  </w:footnote>
  <w:footnote w:type="continuationSeparator" w:id="0">
    <w:p w:rsidR="005C0CD7" w:rsidRDefault="005C0CD7" w:rsidP="005C0CD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LightShading-Accent1"/>
      <w:tblW w:w="5000" w:type="pct"/>
      <w:tblBorders>
        <w:left w:val="single" w:sz="8" w:space="0" w:color="DBE5F1" w:themeColor="accent1" w:themeTint="33"/>
        <w:right w:val="single" w:sz="8" w:space="0" w:color="DBE5F1" w:themeColor="accent1" w:themeTint="33"/>
      </w:tblBorders>
      <w:shd w:val="clear" w:color="auto" w:fill="DBE5F1" w:themeFill="accent1" w:themeFillTint="33"/>
      <w:tblLook w:val="0600" w:firstRow="0" w:lastRow="0" w:firstColumn="0" w:lastColumn="0" w:noHBand="1" w:noVBand="1"/>
    </w:tblPr>
    <w:tblGrid>
      <w:gridCol w:w="11016"/>
    </w:tblGrid>
    <w:tr w:rsidR="005C0CD7" w:rsidTr="00195A7D">
      <w:tc>
        <w:tcPr>
          <w:tcW w:w="5000" w:type="pct"/>
          <w:shd w:val="clear" w:color="auto" w:fill="DBE5F1" w:themeFill="accent1" w:themeFillTint="33"/>
        </w:tcPr>
        <w:p w:rsidR="005C0CD7" w:rsidRPr="005C0CD7" w:rsidRDefault="005C0CD7" w:rsidP="005C0CD7">
          <w:pPr>
            <w:jc w:val="right"/>
            <w:rPr>
              <w:rFonts w:ascii="Times New Roman" w:hAnsi="Times New Roman" w:cs="Times New Roman"/>
            </w:rPr>
          </w:pPr>
          <w:r w:rsidRPr="005C0CD7">
            <w:rPr>
              <w:rFonts w:ascii="Times New Roman" w:hAnsi="Times New Roman" w:cs="Times New Roman"/>
              <w:b/>
            </w:rPr>
            <w:t>Global Communication Center</w:t>
          </w:r>
        </w:p>
      </w:tc>
    </w:tr>
    <w:tr w:rsidR="005C0CD7" w:rsidTr="00195A7D">
      <w:tc>
        <w:tcPr>
          <w:tcW w:w="5000" w:type="pct"/>
          <w:shd w:val="clear" w:color="auto" w:fill="DBE5F1" w:themeFill="accent1" w:themeFillTint="33"/>
        </w:tcPr>
        <w:p w:rsidR="005C0CD7" w:rsidRPr="005C0CD7" w:rsidRDefault="005C0CD7" w:rsidP="005C0CD7">
          <w:pPr>
            <w:jc w:val="right"/>
            <w:rPr>
              <w:b/>
            </w:rPr>
          </w:pPr>
          <w:r>
            <w:rPr>
              <w:b/>
            </w:rPr>
            <w:t>Cmu.edu/</w:t>
          </w:r>
          <w:proofErr w:type="spellStart"/>
          <w:r>
            <w:rPr>
              <w:b/>
            </w:rPr>
            <w:t>gcc</w:t>
          </w:r>
          <w:proofErr w:type="spellEnd"/>
        </w:p>
      </w:tc>
    </w:tr>
  </w:tbl>
  <w:p w:rsidR="005C0CD7" w:rsidRDefault="005C0CD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B8B"/>
    <w:rsid w:val="00044006"/>
    <w:rsid w:val="00092603"/>
    <w:rsid w:val="00107B8B"/>
    <w:rsid w:val="001567E6"/>
    <w:rsid w:val="00165713"/>
    <w:rsid w:val="001E2BE3"/>
    <w:rsid w:val="0021398F"/>
    <w:rsid w:val="002211C8"/>
    <w:rsid w:val="00283E7F"/>
    <w:rsid w:val="0030758F"/>
    <w:rsid w:val="00315866"/>
    <w:rsid w:val="0034462B"/>
    <w:rsid w:val="003645AE"/>
    <w:rsid w:val="00380D18"/>
    <w:rsid w:val="00421307"/>
    <w:rsid w:val="00574B1A"/>
    <w:rsid w:val="005C0CD7"/>
    <w:rsid w:val="006C282D"/>
    <w:rsid w:val="007648F0"/>
    <w:rsid w:val="00774F9A"/>
    <w:rsid w:val="007C3117"/>
    <w:rsid w:val="007F07F2"/>
    <w:rsid w:val="00803DC8"/>
    <w:rsid w:val="00812CB5"/>
    <w:rsid w:val="0093191F"/>
    <w:rsid w:val="00944D5B"/>
    <w:rsid w:val="009A532B"/>
    <w:rsid w:val="009E2E5D"/>
    <w:rsid w:val="00A721C0"/>
    <w:rsid w:val="00AB34A8"/>
    <w:rsid w:val="00AC12ED"/>
    <w:rsid w:val="00B420E7"/>
    <w:rsid w:val="00B85FA1"/>
    <w:rsid w:val="00B940CE"/>
    <w:rsid w:val="00D421CC"/>
    <w:rsid w:val="00E24681"/>
    <w:rsid w:val="00E46841"/>
    <w:rsid w:val="00E50544"/>
    <w:rsid w:val="00EC51B3"/>
    <w:rsid w:val="00F15E11"/>
    <w:rsid w:val="00F300B5"/>
    <w:rsid w:val="00FB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E246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tcBorders>
          <w:bottom w:val="single" w:sz="6" w:space="0" w:color="000000"/>
        </w:tcBorders>
        <w:shd w:val="clear" w:color="auto" w:fill="auto"/>
      </w:tcPr>
    </w:tblStylePr>
    <w:tblStylePr w:type="lastRow">
      <w:tblPr/>
      <w:tcPr>
        <w:tcBorders>
          <w:top w:val="single" w:sz="6" w:space="0" w:color="000000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rsid w:val="005C0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0CD7"/>
    <w:rPr>
      <w:sz w:val="24"/>
      <w:szCs w:val="24"/>
    </w:rPr>
  </w:style>
  <w:style w:type="paragraph" w:styleId="Footer">
    <w:name w:val="footer"/>
    <w:basedOn w:val="Normal"/>
    <w:link w:val="FooterChar"/>
    <w:rsid w:val="005C0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0CD7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C0CD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1">
    <w:name w:val="Table Simple 1"/>
    <w:basedOn w:val="TableNormal"/>
    <w:rsid w:val="00E24681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i/>
      </w:rPr>
      <w:tblPr/>
      <w:tcPr>
        <w:tcBorders>
          <w:bottom w:val="single" w:sz="6" w:space="0" w:color="000000"/>
        </w:tcBorders>
        <w:shd w:val="clear" w:color="auto" w:fill="auto"/>
      </w:tcPr>
    </w:tblStylePr>
    <w:tblStylePr w:type="lastRow">
      <w:tblPr/>
      <w:tcPr>
        <w:tcBorders>
          <w:top w:val="single" w:sz="6" w:space="0" w:color="000000"/>
        </w:tcBorders>
        <w:shd w:val="clear" w:color="auto" w:fill="auto"/>
      </w:tcPr>
    </w:tblStylePr>
  </w:style>
  <w:style w:type="paragraph" w:styleId="Header">
    <w:name w:val="header"/>
    <w:basedOn w:val="Normal"/>
    <w:link w:val="HeaderChar"/>
    <w:rsid w:val="005C0C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C0CD7"/>
    <w:rPr>
      <w:sz w:val="24"/>
      <w:szCs w:val="24"/>
    </w:rPr>
  </w:style>
  <w:style w:type="paragraph" w:styleId="Footer">
    <w:name w:val="footer"/>
    <w:basedOn w:val="Normal"/>
    <w:link w:val="FooterChar"/>
    <w:rsid w:val="005C0C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C0CD7"/>
    <w:rPr>
      <w:sz w:val="24"/>
      <w:szCs w:val="24"/>
    </w:rPr>
  </w:style>
  <w:style w:type="table" w:styleId="LightShading-Accent1">
    <w:name w:val="Light Shading Accent 1"/>
    <w:basedOn w:val="TableNormal"/>
    <w:uiPriority w:val="60"/>
    <w:rsid w:val="005C0CD7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eastAsia="zh-TW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8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2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2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0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93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2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5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2678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Different disciplines have different reference styles that reflect disciplinary values</vt:lpstr>
    </vt:vector>
  </TitlesOfParts>
  <Company>University of Louisville</Company>
  <LinksUpToDate>false</LinksUpToDate>
  <CharactersWithSpaces>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Different disciplines have different reference styles that reflect disciplinary values</dc:title>
  <dc:creator>Joanna Wolfe</dc:creator>
  <cp:lastModifiedBy>Nisha Shanmugaraj</cp:lastModifiedBy>
  <cp:revision>2</cp:revision>
  <dcterms:created xsi:type="dcterms:W3CDTF">2013-09-03T18:09:00Z</dcterms:created>
  <dcterms:modified xsi:type="dcterms:W3CDTF">2013-09-03T18:09:00Z</dcterms:modified>
</cp:coreProperties>
</file>